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8D" w:rsidRPr="00D922B0" w:rsidRDefault="00D922B0" w:rsidP="007B5424">
      <w:pPr>
        <w:pStyle w:val="ListParagraph"/>
        <w:numPr>
          <w:ilvl w:val="0"/>
          <w:numId w:val="4"/>
        </w:numPr>
        <w:spacing w:before="240" w:after="0" w:line="240" w:lineRule="auto"/>
        <w:ind w:left="357" w:hanging="357"/>
        <w:contextualSpacing w:val="0"/>
        <w:jc w:val="both"/>
        <w:rPr>
          <w:rFonts w:ascii="Arial" w:hAnsi="Arial" w:cs="Arial"/>
          <w:bCs/>
          <w:spacing w:val="-3"/>
        </w:rPr>
      </w:pPr>
      <w:bookmarkStart w:id="0" w:name="_GoBack"/>
      <w:bookmarkEnd w:id="0"/>
      <w:r>
        <w:rPr>
          <w:rFonts w:ascii="Arial" w:hAnsi="Arial" w:cs="Arial"/>
          <w:bCs/>
          <w:spacing w:val="-3"/>
        </w:rPr>
        <w:t xml:space="preserve">In </w:t>
      </w:r>
      <w:r w:rsidR="0001738D" w:rsidRPr="00D922B0">
        <w:rPr>
          <w:rFonts w:ascii="Arial" w:hAnsi="Arial" w:cs="Arial"/>
          <w:bCs/>
          <w:spacing w:val="-3"/>
        </w:rPr>
        <w:t xml:space="preserve">June 2016 the Health, Communities, Disability Services and Domestic and Family Violence Prevention Committee (the Committee) resolved to conduct an inquiry into the performance of the Health Ombudsman’s functions pursuant to section 179 of </w:t>
      </w:r>
      <w:r w:rsidR="0001738D" w:rsidRPr="008F6F71">
        <w:rPr>
          <w:rFonts w:ascii="Arial" w:hAnsi="Arial" w:cs="Arial"/>
          <w:bCs/>
          <w:spacing w:val="-3"/>
        </w:rPr>
        <w:t>the</w:t>
      </w:r>
      <w:r w:rsidR="0001738D" w:rsidRPr="00D922B0">
        <w:rPr>
          <w:rFonts w:ascii="Arial" w:hAnsi="Arial" w:cs="Arial"/>
          <w:bCs/>
          <w:i/>
          <w:spacing w:val="-3"/>
        </w:rPr>
        <w:t xml:space="preserve"> Health Ombudsman Act 2013.</w:t>
      </w:r>
    </w:p>
    <w:p w:rsidR="0001738D" w:rsidRPr="00D922B0" w:rsidRDefault="0001738D" w:rsidP="007B5424">
      <w:pPr>
        <w:pStyle w:val="ListParagraph"/>
        <w:numPr>
          <w:ilvl w:val="0"/>
          <w:numId w:val="4"/>
        </w:numPr>
        <w:spacing w:before="240" w:after="0" w:line="240" w:lineRule="auto"/>
        <w:ind w:left="357" w:hanging="357"/>
        <w:contextualSpacing w:val="0"/>
        <w:jc w:val="both"/>
        <w:rPr>
          <w:rFonts w:ascii="Arial" w:hAnsi="Arial" w:cs="Arial"/>
          <w:bCs/>
          <w:spacing w:val="-3"/>
        </w:rPr>
      </w:pPr>
      <w:r w:rsidRPr="00D922B0">
        <w:rPr>
          <w:rFonts w:ascii="Arial" w:hAnsi="Arial" w:cs="Arial"/>
          <w:bCs/>
          <w:spacing w:val="-3"/>
        </w:rPr>
        <w:t xml:space="preserve">The Committee tabled its report </w:t>
      </w:r>
      <w:r w:rsidR="00D922B0">
        <w:rPr>
          <w:rFonts w:ascii="Arial" w:hAnsi="Arial" w:cs="Arial"/>
          <w:bCs/>
          <w:spacing w:val="-3"/>
        </w:rPr>
        <w:t xml:space="preserve">in </w:t>
      </w:r>
      <w:r w:rsidRPr="00D922B0">
        <w:rPr>
          <w:rFonts w:ascii="Arial" w:hAnsi="Arial" w:cs="Arial"/>
          <w:bCs/>
          <w:spacing w:val="-3"/>
        </w:rPr>
        <w:t>December 2016. The Committee noted significant concerns that the Office of the Health Ombudsman is failing to meet its statutory timeframes for managing health service complaints. The Committee did not consider it necessary to make fundamental changes to the health complaints system. However, the Committee made four initial recommendations aimed at improving the performance of the system:</w:t>
      </w:r>
    </w:p>
    <w:p w:rsidR="0001738D" w:rsidRPr="00722CEE" w:rsidRDefault="0001738D" w:rsidP="007B5424">
      <w:pPr>
        <w:numPr>
          <w:ilvl w:val="0"/>
          <w:numId w:val="3"/>
        </w:numPr>
        <w:spacing w:before="120" w:after="0" w:line="240" w:lineRule="auto"/>
        <w:ind w:left="720"/>
        <w:jc w:val="both"/>
        <w:rPr>
          <w:rFonts w:ascii="Arial" w:hAnsi="Arial" w:cs="Arial"/>
          <w:bCs/>
          <w:spacing w:val="-3"/>
        </w:rPr>
      </w:pPr>
      <w:r w:rsidRPr="00722CEE">
        <w:rPr>
          <w:rFonts w:ascii="Arial" w:hAnsi="Arial" w:cs="Arial"/>
          <w:bCs/>
          <w:spacing w:val="-3"/>
        </w:rPr>
        <w:t>Recommendation 1: That the Queensland Government investiga</w:t>
      </w:r>
      <w:r>
        <w:rPr>
          <w:rFonts w:ascii="Arial" w:hAnsi="Arial" w:cs="Arial"/>
          <w:bCs/>
          <w:spacing w:val="-3"/>
        </w:rPr>
        <w:t xml:space="preserve">te the merits of amending the </w:t>
      </w:r>
      <w:r w:rsidRPr="00F00E54">
        <w:rPr>
          <w:rFonts w:ascii="Arial" w:hAnsi="Arial" w:cs="Arial"/>
          <w:bCs/>
          <w:i/>
          <w:spacing w:val="-3"/>
        </w:rPr>
        <w:t>Health Ombudsman Act 2013</w:t>
      </w:r>
      <w:r>
        <w:rPr>
          <w:rFonts w:ascii="Arial" w:hAnsi="Arial" w:cs="Arial"/>
          <w:bCs/>
          <w:spacing w:val="-3"/>
        </w:rPr>
        <w:t xml:space="preserve"> </w:t>
      </w:r>
      <w:r w:rsidRPr="00722CEE">
        <w:rPr>
          <w:rFonts w:ascii="Arial" w:hAnsi="Arial" w:cs="Arial"/>
          <w:bCs/>
          <w:spacing w:val="-3"/>
        </w:rPr>
        <w:t>to introduce a joint consideration process for health service complaints between the O</w:t>
      </w:r>
      <w:r>
        <w:rPr>
          <w:rFonts w:ascii="Arial" w:hAnsi="Arial" w:cs="Arial"/>
          <w:bCs/>
          <w:spacing w:val="-3"/>
        </w:rPr>
        <w:t xml:space="preserve">ffice of the </w:t>
      </w:r>
      <w:r w:rsidRPr="00722CEE">
        <w:rPr>
          <w:rFonts w:ascii="Arial" w:hAnsi="Arial" w:cs="Arial"/>
          <w:bCs/>
          <w:spacing w:val="-3"/>
        </w:rPr>
        <w:t>H</w:t>
      </w:r>
      <w:r>
        <w:rPr>
          <w:rFonts w:ascii="Arial" w:hAnsi="Arial" w:cs="Arial"/>
          <w:bCs/>
          <w:spacing w:val="-3"/>
        </w:rPr>
        <w:t xml:space="preserve">ealth </w:t>
      </w:r>
      <w:r w:rsidRPr="00722CEE">
        <w:rPr>
          <w:rFonts w:ascii="Arial" w:hAnsi="Arial" w:cs="Arial"/>
          <w:bCs/>
          <w:spacing w:val="-3"/>
        </w:rPr>
        <w:t>O</w:t>
      </w:r>
      <w:r>
        <w:rPr>
          <w:rFonts w:ascii="Arial" w:hAnsi="Arial" w:cs="Arial"/>
          <w:bCs/>
          <w:spacing w:val="-3"/>
        </w:rPr>
        <w:t>mbudsman</w:t>
      </w:r>
      <w:r w:rsidRPr="00722CEE">
        <w:rPr>
          <w:rFonts w:ascii="Arial" w:hAnsi="Arial" w:cs="Arial"/>
          <w:bCs/>
          <w:spacing w:val="-3"/>
        </w:rPr>
        <w:t xml:space="preserve"> </w:t>
      </w:r>
      <w:r>
        <w:rPr>
          <w:rFonts w:ascii="Arial" w:hAnsi="Arial" w:cs="Arial"/>
          <w:bCs/>
          <w:spacing w:val="-3"/>
        </w:rPr>
        <w:t xml:space="preserve">(OHO) </w:t>
      </w:r>
      <w:r w:rsidRPr="00722CEE">
        <w:rPr>
          <w:rFonts w:ascii="Arial" w:hAnsi="Arial" w:cs="Arial"/>
          <w:bCs/>
          <w:spacing w:val="-3"/>
        </w:rPr>
        <w:t xml:space="preserve">and </w:t>
      </w:r>
      <w:r>
        <w:rPr>
          <w:rFonts w:ascii="Arial" w:hAnsi="Arial" w:cs="Arial"/>
          <w:bCs/>
          <w:spacing w:val="-3"/>
        </w:rPr>
        <w:t xml:space="preserve">the </w:t>
      </w:r>
      <w:r w:rsidRPr="00722CEE">
        <w:rPr>
          <w:rFonts w:ascii="Arial" w:hAnsi="Arial" w:cs="Arial"/>
          <w:bCs/>
          <w:spacing w:val="-3"/>
        </w:rPr>
        <w:t>A</w:t>
      </w:r>
      <w:r>
        <w:rPr>
          <w:rFonts w:ascii="Arial" w:hAnsi="Arial" w:cs="Arial"/>
          <w:bCs/>
          <w:spacing w:val="-3"/>
        </w:rPr>
        <w:t xml:space="preserve">ustralian </w:t>
      </w:r>
      <w:r w:rsidRPr="00722CEE">
        <w:rPr>
          <w:rFonts w:ascii="Arial" w:hAnsi="Arial" w:cs="Arial"/>
          <w:bCs/>
          <w:spacing w:val="-3"/>
        </w:rPr>
        <w:t>H</w:t>
      </w:r>
      <w:r>
        <w:rPr>
          <w:rFonts w:ascii="Arial" w:hAnsi="Arial" w:cs="Arial"/>
          <w:bCs/>
          <w:spacing w:val="-3"/>
        </w:rPr>
        <w:t xml:space="preserve">ealth </w:t>
      </w:r>
      <w:r w:rsidRPr="00722CEE">
        <w:rPr>
          <w:rFonts w:ascii="Arial" w:hAnsi="Arial" w:cs="Arial"/>
          <w:bCs/>
          <w:spacing w:val="-3"/>
        </w:rPr>
        <w:t>P</w:t>
      </w:r>
      <w:r>
        <w:rPr>
          <w:rFonts w:ascii="Arial" w:hAnsi="Arial" w:cs="Arial"/>
          <w:bCs/>
          <w:spacing w:val="-3"/>
        </w:rPr>
        <w:t xml:space="preserve">ractitioners </w:t>
      </w:r>
      <w:r w:rsidRPr="00722CEE">
        <w:rPr>
          <w:rFonts w:ascii="Arial" w:hAnsi="Arial" w:cs="Arial"/>
          <w:bCs/>
          <w:spacing w:val="-3"/>
        </w:rPr>
        <w:t>R</w:t>
      </w:r>
      <w:r>
        <w:rPr>
          <w:rFonts w:ascii="Arial" w:hAnsi="Arial" w:cs="Arial"/>
          <w:bCs/>
          <w:spacing w:val="-3"/>
        </w:rPr>
        <w:t xml:space="preserve">egulation </w:t>
      </w:r>
      <w:r w:rsidRPr="00722CEE">
        <w:rPr>
          <w:rFonts w:ascii="Arial" w:hAnsi="Arial" w:cs="Arial"/>
          <w:bCs/>
          <w:spacing w:val="-3"/>
        </w:rPr>
        <w:t>A</w:t>
      </w:r>
      <w:r>
        <w:rPr>
          <w:rFonts w:ascii="Arial" w:hAnsi="Arial" w:cs="Arial"/>
          <w:bCs/>
          <w:spacing w:val="-3"/>
        </w:rPr>
        <w:t>uthority</w:t>
      </w:r>
      <w:r w:rsidRPr="00722CEE">
        <w:rPr>
          <w:rFonts w:ascii="Arial" w:hAnsi="Arial" w:cs="Arial"/>
          <w:bCs/>
          <w:spacing w:val="-3"/>
        </w:rPr>
        <w:t xml:space="preserve"> </w:t>
      </w:r>
      <w:r>
        <w:rPr>
          <w:rFonts w:ascii="Arial" w:hAnsi="Arial" w:cs="Arial"/>
          <w:bCs/>
          <w:spacing w:val="-3"/>
        </w:rPr>
        <w:t xml:space="preserve">(AHPRA) </w:t>
      </w:r>
      <w:r w:rsidRPr="00722CEE">
        <w:rPr>
          <w:rFonts w:ascii="Arial" w:hAnsi="Arial" w:cs="Arial"/>
          <w:bCs/>
          <w:spacing w:val="-3"/>
        </w:rPr>
        <w:t xml:space="preserve">and the </w:t>
      </w:r>
      <w:r>
        <w:rPr>
          <w:rFonts w:ascii="Arial" w:hAnsi="Arial" w:cs="Arial"/>
          <w:bCs/>
          <w:spacing w:val="-3"/>
        </w:rPr>
        <w:t xml:space="preserve">Health Practitioner </w:t>
      </w:r>
      <w:r w:rsidRPr="00722CEE">
        <w:rPr>
          <w:rFonts w:ascii="Arial" w:hAnsi="Arial" w:cs="Arial"/>
          <w:bCs/>
          <w:spacing w:val="-3"/>
        </w:rPr>
        <w:t>National Boards</w:t>
      </w:r>
      <w:r>
        <w:rPr>
          <w:rFonts w:ascii="Arial" w:hAnsi="Arial" w:cs="Arial"/>
          <w:bCs/>
          <w:spacing w:val="-3"/>
        </w:rPr>
        <w:t xml:space="preserve"> (National Boards)</w:t>
      </w:r>
      <w:r w:rsidRPr="00722CEE">
        <w:rPr>
          <w:rFonts w:ascii="Arial" w:hAnsi="Arial" w:cs="Arial"/>
          <w:bCs/>
          <w:spacing w:val="-3"/>
        </w:rPr>
        <w:t>.</w:t>
      </w:r>
    </w:p>
    <w:p w:rsidR="0001738D" w:rsidRPr="00722CEE" w:rsidRDefault="0001738D" w:rsidP="007B5424">
      <w:pPr>
        <w:numPr>
          <w:ilvl w:val="0"/>
          <w:numId w:val="3"/>
        </w:numPr>
        <w:spacing w:before="120" w:after="0" w:line="240" w:lineRule="auto"/>
        <w:ind w:left="720"/>
        <w:jc w:val="both"/>
        <w:rPr>
          <w:rFonts w:ascii="Arial" w:hAnsi="Arial" w:cs="Arial"/>
          <w:bCs/>
          <w:spacing w:val="-3"/>
        </w:rPr>
      </w:pPr>
      <w:r w:rsidRPr="00722CEE">
        <w:rPr>
          <w:rFonts w:ascii="Arial" w:hAnsi="Arial" w:cs="Arial"/>
          <w:bCs/>
          <w:spacing w:val="-3"/>
        </w:rPr>
        <w:t>Recommendation 2: That the Queensland Government consider options for ensuring potentially serious professional misconduct matters are able to be dealt with as a whole, rather than be</w:t>
      </w:r>
      <w:r w:rsidR="000A5298">
        <w:rPr>
          <w:rFonts w:ascii="Arial" w:hAnsi="Arial" w:cs="Arial"/>
          <w:bCs/>
          <w:spacing w:val="-3"/>
        </w:rPr>
        <w:t>ing</w:t>
      </w:r>
      <w:r w:rsidRPr="00722CEE">
        <w:rPr>
          <w:rFonts w:ascii="Arial" w:hAnsi="Arial" w:cs="Arial"/>
          <w:bCs/>
          <w:spacing w:val="-3"/>
        </w:rPr>
        <w:t xml:space="preserve"> split between the OHO and AHPRA and the National Boards.</w:t>
      </w:r>
    </w:p>
    <w:p w:rsidR="0001738D" w:rsidRPr="00722CEE" w:rsidRDefault="0001738D" w:rsidP="007B5424">
      <w:pPr>
        <w:numPr>
          <w:ilvl w:val="0"/>
          <w:numId w:val="3"/>
        </w:numPr>
        <w:spacing w:before="120" w:after="0" w:line="240" w:lineRule="auto"/>
        <w:ind w:left="720"/>
        <w:jc w:val="both"/>
        <w:rPr>
          <w:rFonts w:ascii="Arial" w:hAnsi="Arial" w:cs="Arial"/>
          <w:bCs/>
          <w:spacing w:val="-3"/>
        </w:rPr>
      </w:pPr>
      <w:r w:rsidRPr="00722CEE">
        <w:rPr>
          <w:rFonts w:ascii="Arial" w:hAnsi="Arial" w:cs="Arial"/>
          <w:bCs/>
          <w:spacing w:val="-3"/>
        </w:rPr>
        <w:t>Recommendation 3: That the OHO, AHPRA and the National Boards produce a joint plan, which identifies the information needs of all parties and any barriers to the sharing of information, and an approach to resolving data issues that prevent nationally-consistent data about health service complaints.</w:t>
      </w:r>
    </w:p>
    <w:p w:rsidR="0001738D" w:rsidRPr="00722CEE" w:rsidRDefault="0001738D" w:rsidP="007B5424">
      <w:pPr>
        <w:numPr>
          <w:ilvl w:val="0"/>
          <w:numId w:val="3"/>
        </w:numPr>
        <w:tabs>
          <w:tab w:val="num" w:pos="720"/>
        </w:tabs>
        <w:spacing w:before="120" w:after="0" w:line="240" w:lineRule="auto"/>
        <w:ind w:left="720"/>
        <w:jc w:val="both"/>
        <w:rPr>
          <w:rFonts w:ascii="Arial" w:hAnsi="Arial" w:cs="Arial"/>
          <w:bCs/>
          <w:spacing w:val="-3"/>
        </w:rPr>
      </w:pPr>
      <w:r w:rsidRPr="00722CEE">
        <w:rPr>
          <w:rFonts w:ascii="Arial" w:hAnsi="Arial" w:cs="Arial"/>
          <w:bCs/>
          <w:spacing w:val="-3"/>
        </w:rPr>
        <w:t>Recommendation 4: That the Queensland Government considers introducing amendments suggested by the Health Ombudsman.</w:t>
      </w:r>
    </w:p>
    <w:p w:rsidR="00D922B0" w:rsidRDefault="00D922B0" w:rsidP="007B5424">
      <w:pPr>
        <w:pStyle w:val="ListParagraph"/>
        <w:numPr>
          <w:ilvl w:val="0"/>
          <w:numId w:val="4"/>
        </w:numPr>
        <w:spacing w:before="240" w:after="0" w:line="240" w:lineRule="auto"/>
        <w:ind w:left="357" w:hanging="357"/>
        <w:contextualSpacing w:val="0"/>
        <w:jc w:val="both"/>
        <w:rPr>
          <w:rFonts w:ascii="Arial" w:hAnsi="Arial" w:cs="Arial"/>
          <w:bCs/>
          <w:spacing w:val="-3"/>
        </w:rPr>
      </w:pPr>
      <w:r w:rsidRPr="007C6BED">
        <w:rPr>
          <w:rFonts w:ascii="Arial" w:hAnsi="Arial" w:cs="Arial"/>
          <w:bCs/>
          <w:spacing w:val="-3"/>
        </w:rPr>
        <w:t xml:space="preserve">The </w:t>
      </w:r>
      <w:r w:rsidR="008F6F71">
        <w:rPr>
          <w:rFonts w:ascii="Arial" w:hAnsi="Arial" w:cs="Arial"/>
          <w:bCs/>
          <w:spacing w:val="-3"/>
        </w:rPr>
        <w:t>report’</w:t>
      </w:r>
      <w:r w:rsidR="00176459">
        <w:rPr>
          <w:rFonts w:ascii="Arial" w:hAnsi="Arial" w:cs="Arial"/>
          <w:bCs/>
          <w:spacing w:val="-3"/>
        </w:rPr>
        <w:t>s</w:t>
      </w:r>
      <w:r w:rsidRPr="007C6BED">
        <w:rPr>
          <w:rFonts w:ascii="Arial" w:hAnsi="Arial" w:cs="Arial"/>
          <w:bCs/>
          <w:spacing w:val="-3"/>
        </w:rPr>
        <w:t xml:space="preserve"> recommend</w:t>
      </w:r>
      <w:r>
        <w:rPr>
          <w:rFonts w:ascii="Arial" w:hAnsi="Arial" w:cs="Arial"/>
          <w:bCs/>
          <w:spacing w:val="-3"/>
        </w:rPr>
        <w:t>ations 1, 2 and 4 provide</w:t>
      </w:r>
      <w:r w:rsidRPr="007C6BED">
        <w:rPr>
          <w:rFonts w:ascii="Arial" w:hAnsi="Arial" w:cs="Arial"/>
          <w:bCs/>
          <w:spacing w:val="-3"/>
        </w:rPr>
        <w:t xml:space="preserve"> an opportunity to develop improvements to health service complaints system in consultation with stakeholders. </w:t>
      </w:r>
    </w:p>
    <w:p w:rsidR="00BF4D37" w:rsidRPr="00BF4D37" w:rsidRDefault="00BF4D37" w:rsidP="007B5424">
      <w:pPr>
        <w:pStyle w:val="ListParagraph"/>
        <w:numPr>
          <w:ilvl w:val="0"/>
          <w:numId w:val="4"/>
        </w:numPr>
        <w:spacing w:before="240" w:after="0" w:line="240" w:lineRule="auto"/>
        <w:ind w:left="357" w:hanging="357"/>
        <w:contextualSpacing w:val="0"/>
        <w:jc w:val="both"/>
        <w:rPr>
          <w:rFonts w:ascii="Arial" w:hAnsi="Arial" w:cs="Arial"/>
          <w:bCs/>
          <w:spacing w:val="-3"/>
        </w:rPr>
      </w:pPr>
      <w:r w:rsidRPr="00BF4D37">
        <w:rPr>
          <w:rFonts w:ascii="Arial" w:hAnsi="Arial" w:cs="Arial"/>
          <w:bCs/>
          <w:spacing w:val="-3"/>
          <w:u w:val="single"/>
        </w:rPr>
        <w:t>Cabinet approved</w:t>
      </w:r>
      <w:r w:rsidRPr="00BF4D37">
        <w:rPr>
          <w:rFonts w:ascii="Arial" w:hAnsi="Arial" w:cs="Arial"/>
          <w:bCs/>
          <w:spacing w:val="-3"/>
        </w:rPr>
        <w:t xml:space="preserve"> tha</w:t>
      </w:r>
      <w:r w:rsidR="007B5424">
        <w:rPr>
          <w:rFonts w:ascii="Arial" w:hAnsi="Arial" w:cs="Arial"/>
          <w:bCs/>
          <w:spacing w:val="-3"/>
        </w:rPr>
        <w:t>t the Government response adopt</w:t>
      </w:r>
      <w:r w:rsidRPr="00BF4D37">
        <w:rPr>
          <w:rFonts w:ascii="Arial" w:hAnsi="Arial" w:cs="Arial"/>
          <w:bCs/>
          <w:spacing w:val="-3"/>
        </w:rPr>
        <w:t xml:space="preserve"> the Comm</w:t>
      </w:r>
      <w:r w:rsidR="007B5424">
        <w:rPr>
          <w:rFonts w:ascii="Arial" w:hAnsi="Arial" w:cs="Arial"/>
          <w:bCs/>
          <w:spacing w:val="-3"/>
        </w:rPr>
        <w:t>ittee</w:t>
      </w:r>
      <w:r w:rsidRPr="00BF4D37">
        <w:rPr>
          <w:rFonts w:ascii="Arial" w:hAnsi="Arial" w:cs="Arial"/>
          <w:bCs/>
          <w:spacing w:val="-3"/>
        </w:rPr>
        <w:t xml:space="preserve"> recommendations 1, 2 and 4 and support recommendation 3.</w:t>
      </w:r>
    </w:p>
    <w:p w:rsidR="00BF4D37" w:rsidRPr="007B5424" w:rsidRDefault="00BF4D37" w:rsidP="007B5424">
      <w:pPr>
        <w:pStyle w:val="ListParagraph"/>
        <w:numPr>
          <w:ilvl w:val="0"/>
          <w:numId w:val="4"/>
        </w:numPr>
        <w:spacing w:before="240" w:after="0" w:line="240" w:lineRule="auto"/>
        <w:ind w:left="357" w:hanging="357"/>
        <w:contextualSpacing w:val="0"/>
        <w:jc w:val="both"/>
        <w:rPr>
          <w:rFonts w:ascii="Arial" w:hAnsi="Arial" w:cs="Arial"/>
          <w:bCs/>
          <w:spacing w:val="-3"/>
        </w:rPr>
      </w:pPr>
      <w:r w:rsidRPr="00BF4D37">
        <w:rPr>
          <w:rFonts w:ascii="Arial" w:hAnsi="Arial" w:cs="Arial"/>
          <w:bCs/>
          <w:spacing w:val="-3"/>
          <w:u w:val="single"/>
        </w:rPr>
        <w:t>Cabinet approved</w:t>
      </w:r>
      <w:r w:rsidRPr="00BF4D37">
        <w:rPr>
          <w:rFonts w:ascii="Arial" w:hAnsi="Arial" w:cs="Arial"/>
          <w:bCs/>
          <w:spacing w:val="-3"/>
        </w:rPr>
        <w:t xml:space="preserve"> tabling of the Government response to the Committee’s report.</w:t>
      </w:r>
    </w:p>
    <w:p w:rsidR="00BF4D37" w:rsidRPr="007B5424" w:rsidRDefault="00BF4D37" w:rsidP="007B5424">
      <w:pPr>
        <w:pStyle w:val="ListParagraph"/>
        <w:numPr>
          <w:ilvl w:val="0"/>
          <w:numId w:val="4"/>
        </w:numPr>
        <w:spacing w:before="360" w:after="0" w:line="240" w:lineRule="auto"/>
        <w:ind w:left="357" w:hanging="357"/>
        <w:contextualSpacing w:val="0"/>
        <w:jc w:val="both"/>
        <w:rPr>
          <w:rFonts w:ascii="Arial" w:hAnsi="Arial" w:cs="Arial"/>
          <w:bCs/>
          <w:spacing w:val="-3"/>
        </w:rPr>
      </w:pPr>
      <w:r w:rsidRPr="00BF4D37">
        <w:rPr>
          <w:rFonts w:ascii="Arial" w:hAnsi="Arial" w:cs="Arial"/>
          <w:bCs/>
          <w:i/>
          <w:spacing w:val="-3"/>
          <w:u w:val="single"/>
        </w:rPr>
        <w:t>Attachments</w:t>
      </w:r>
    </w:p>
    <w:p w:rsidR="00BF4D37" w:rsidRPr="00BF4D37" w:rsidRDefault="000F4744" w:rsidP="007B5424">
      <w:pPr>
        <w:numPr>
          <w:ilvl w:val="0"/>
          <w:numId w:val="3"/>
        </w:numPr>
        <w:spacing w:before="120" w:after="0" w:line="240" w:lineRule="auto"/>
        <w:ind w:left="720"/>
        <w:jc w:val="both"/>
        <w:rPr>
          <w:rFonts w:ascii="Arial" w:hAnsi="Arial" w:cs="Arial"/>
          <w:bCs/>
          <w:spacing w:val="-3"/>
        </w:rPr>
      </w:pPr>
      <w:hyperlink r:id="rId7" w:history="1">
        <w:r w:rsidR="00BF4D37" w:rsidRPr="00A015D3">
          <w:rPr>
            <w:rStyle w:val="Hyperlink"/>
            <w:rFonts w:ascii="Arial" w:hAnsi="Arial" w:cs="Arial"/>
            <w:bCs/>
            <w:spacing w:val="-3"/>
          </w:rPr>
          <w:t xml:space="preserve">Health, Communities, Disability Services and Domestic and Family Violence Prevention Committee’s Report No. 31 - </w:t>
        </w:r>
        <w:r w:rsidR="00BF4D37" w:rsidRPr="00A015D3">
          <w:rPr>
            <w:rStyle w:val="Hyperlink"/>
            <w:rFonts w:ascii="Arial" w:hAnsi="Arial" w:cs="Arial"/>
            <w:bCs/>
            <w:i/>
            <w:spacing w:val="-3"/>
          </w:rPr>
          <w:t>Inquiry into the performance of the Health Ombudsman’s functions pursuant to section 179 of the Health Ombudsman Act 2013</w:t>
        </w:r>
      </w:hyperlink>
    </w:p>
    <w:p w:rsidR="002C4445" w:rsidRPr="00BF4D37" w:rsidRDefault="000F4744" w:rsidP="007B5424">
      <w:pPr>
        <w:numPr>
          <w:ilvl w:val="0"/>
          <w:numId w:val="3"/>
        </w:numPr>
        <w:spacing w:before="120" w:after="0" w:line="240" w:lineRule="auto"/>
        <w:ind w:left="720"/>
        <w:jc w:val="both"/>
        <w:rPr>
          <w:rFonts w:ascii="Arial" w:hAnsi="Arial" w:cs="Arial"/>
          <w:bCs/>
          <w:spacing w:val="-3"/>
        </w:rPr>
      </w:pPr>
      <w:hyperlink r:id="rId8" w:history="1">
        <w:r w:rsidR="00BF4D37" w:rsidRPr="00A015D3">
          <w:rPr>
            <w:rStyle w:val="Hyperlink"/>
            <w:rFonts w:ascii="Arial" w:hAnsi="Arial" w:cs="Arial"/>
            <w:bCs/>
            <w:spacing w:val="-3"/>
          </w:rPr>
          <w:t>Government response</w:t>
        </w:r>
      </w:hyperlink>
    </w:p>
    <w:sectPr w:rsidR="002C4445" w:rsidRPr="00BF4D37" w:rsidSect="0017645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6A" w:rsidRDefault="00A30A6A" w:rsidP="0001738D">
      <w:pPr>
        <w:spacing w:after="0" w:line="240" w:lineRule="auto"/>
      </w:pPr>
      <w:r>
        <w:separator/>
      </w:r>
    </w:p>
  </w:endnote>
  <w:endnote w:type="continuationSeparator" w:id="0">
    <w:p w:rsidR="00A30A6A" w:rsidRDefault="00A30A6A" w:rsidP="0001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6A" w:rsidRDefault="00A30A6A" w:rsidP="0001738D">
      <w:pPr>
        <w:spacing w:after="0" w:line="240" w:lineRule="auto"/>
      </w:pPr>
      <w:r>
        <w:separator/>
      </w:r>
    </w:p>
  </w:footnote>
  <w:footnote w:type="continuationSeparator" w:id="0">
    <w:p w:rsidR="00A30A6A" w:rsidRDefault="00A30A6A" w:rsidP="0001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8D" w:rsidRPr="003E3AAE" w:rsidRDefault="0001738D" w:rsidP="008F6F71">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rPr>
    </w:pPr>
    <w:r w:rsidRPr="003E3AAE">
      <w:rPr>
        <w:rFonts w:ascii="Arial" w:hAnsi="Arial" w:cs="Arial"/>
        <w:b/>
        <w:sz w:val="28"/>
      </w:rPr>
      <w:t>Queensland Government</w:t>
    </w:r>
  </w:p>
  <w:p w:rsidR="0001738D" w:rsidRPr="00D75134" w:rsidRDefault="0001738D" w:rsidP="0001738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u w:val="single"/>
      </w:rPr>
    </w:pPr>
  </w:p>
  <w:p w:rsidR="0001738D" w:rsidRPr="001E209B" w:rsidRDefault="0001738D" w:rsidP="0001738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rPr>
    </w:pPr>
    <w:r w:rsidRPr="001E209B">
      <w:rPr>
        <w:rFonts w:ascii="Arial" w:hAnsi="Arial" w:cs="Arial"/>
        <w:b/>
      </w:rPr>
      <w:t xml:space="preserve">Cabinet – </w:t>
    </w:r>
    <w:r w:rsidR="007B5424">
      <w:rPr>
        <w:rFonts w:ascii="Arial" w:hAnsi="Arial" w:cs="Arial"/>
        <w:b/>
      </w:rPr>
      <w:t>March 2017</w:t>
    </w:r>
  </w:p>
  <w:p w:rsidR="0001738D" w:rsidRPr="00D922B0" w:rsidRDefault="0001738D" w:rsidP="007B5424">
    <w:pPr>
      <w:keepLines/>
      <w:spacing w:before="120" w:after="0" w:line="240" w:lineRule="auto"/>
      <w:jc w:val="both"/>
      <w:rPr>
        <w:b/>
        <w:i/>
        <w:u w:val="single"/>
      </w:rPr>
    </w:pPr>
    <w:r w:rsidRPr="00D922B0">
      <w:rPr>
        <w:rFonts w:ascii="Arial" w:hAnsi="Arial" w:cs="Arial"/>
        <w:b/>
        <w:u w:val="single"/>
      </w:rPr>
      <w:t xml:space="preserve">Government’s response to the Health, Communities, Disability Services and Domestic and Family Violence Prevention Committee’s Report No. 31 – </w:t>
    </w:r>
    <w:r w:rsidRPr="00D922B0">
      <w:rPr>
        <w:rFonts w:ascii="Arial" w:hAnsi="Arial" w:cs="Arial"/>
        <w:b/>
        <w:i/>
        <w:u w:val="single"/>
      </w:rPr>
      <w:t xml:space="preserve">Inquiry into the performance of the Health Ombudsman’s functions pursuant to section 179 of the </w:t>
    </w:r>
    <w:r w:rsidR="000A5298" w:rsidRPr="00D922B0">
      <w:rPr>
        <w:rFonts w:ascii="Arial" w:hAnsi="Arial" w:cs="Arial"/>
        <w:b/>
        <w:i/>
        <w:u w:val="single"/>
      </w:rPr>
      <w:t>Health Ombudsman</w:t>
    </w:r>
    <w:r w:rsidRPr="00D922B0">
      <w:rPr>
        <w:rFonts w:ascii="Arial" w:hAnsi="Arial" w:cs="Arial"/>
        <w:b/>
        <w:i/>
        <w:u w:val="single"/>
      </w:rPr>
      <w:t xml:space="preserve"> A</w:t>
    </w:r>
    <w:r w:rsidR="007B5424">
      <w:rPr>
        <w:rFonts w:ascii="Arial" w:hAnsi="Arial" w:cs="Arial"/>
        <w:b/>
        <w:i/>
        <w:u w:val="single"/>
      </w:rPr>
      <w:t>ct 2013</w:t>
    </w:r>
  </w:p>
  <w:p w:rsidR="0001738D" w:rsidRDefault="0001738D" w:rsidP="0001738D">
    <w:pPr>
      <w:pStyle w:val="Header"/>
      <w:spacing w:before="120"/>
      <w:rPr>
        <w:rFonts w:ascii="Arial" w:hAnsi="Arial" w:cs="Arial"/>
        <w:color w:val="000000"/>
      </w:rPr>
    </w:pPr>
    <w:r w:rsidRPr="00D922B0">
      <w:rPr>
        <w:rFonts w:ascii="Arial" w:hAnsi="Arial" w:cs="Arial"/>
        <w:b/>
        <w:color w:val="000000"/>
        <w:u w:val="single"/>
      </w:rPr>
      <w:t>Minister for Health and Minister for Ambulance Services</w:t>
    </w:r>
  </w:p>
  <w:p w:rsidR="008F6F71" w:rsidRPr="008F6F71" w:rsidRDefault="008F6F71" w:rsidP="008F6F71">
    <w:pPr>
      <w:pStyle w:val="Header"/>
      <w:pBdr>
        <w:bottom w:val="single" w:sz="4" w:space="1" w:color="auto"/>
      </w:pBdr>
      <w:rPr>
        <w:rFonts w:ascii="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279"/>
    <w:multiLevelType w:val="hybridMultilevel"/>
    <w:tmpl w:val="17D2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17F0DC6"/>
    <w:multiLevelType w:val="hybridMultilevel"/>
    <w:tmpl w:val="0A3CF7E4"/>
    <w:lvl w:ilvl="0" w:tplc="92040B7C">
      <w:numFmt w:val="bullet"/>
      <w:lvlText w:val="-"/>
      <w:lvlJc w:val="left"/>
      <w:pPr>
        <w:ind w:left="1060" w:hanging="360"/>
      </w:pPr>
      <w:rPr>
        <w:rFonts w:ascii="Courier New" w:eastAsia="Courier New" w:hAnsi="Courier New" w:cs="Courier New" w:hint="default"/>
        <w:w w:val="100"/>
        <w:sz w:val="22"/>
        <w:szCs w:val="22"/>
      </w:rPr>
    </w:lvl>
    <w:lvl w:ilvl="1" w:tplc="D92E5E2C">
      <w:numFmt w:val="bullet"/>
      <w:lvlText w:val="•"/>
      <w:lvlJc w:val="left"/>
      <w:pPr>
        <w:ind w:left="1924" w:hanging="360"/>
      </w:pPr>
      <w:rPr>
        <w:rFonts w:hint="default"/>
      </w:rPr>
    </w:lvl>
    <w:lvl w:ilvl="2" w:tplc="3C387FCE">
      <w:numFmt w:val="bullet"/>
      <w:lvlText w:val="•"/>
      <w:lvlJc w:val="left"/>
      <w:pPr>
        <w:ind w:left="2789" w:hanging="360"/>
      </w:pPr>
      <w:rPr>
        <w:rFonts w:hint="default"/>
      </w:rPr>
    </w:lvl>
    <w:lvl w:ilvl="3" w:tplc="924600A6">
      <w:numFmt w:val="bullet"/>
      <w:lvlText w:val="•"/>
      <w:lvlJc w:val="left"/>
      <w:pPr>
        <w:ind w:left="3653" w:hanging="360"/>
      </w:pPr>
      <w:rPr>
        <w:rFonts w:hint="default"/>
      </w:rPr>
    </w:lvl>
    <w:lvl w:ilvl="4" w:tplc="36908DE6">
      <w:numFmt w:val="bullet"/>
      <w:lvlText w:val="•"/>
      <w:lvlJc w:val="left"/>
      <w:pPr>
        <w:ind w:left="4518" w:hanging="360"/>
      </w:pPr>
      <w:rPr>
        <w:rFonts w:hint="default"/>
      </w:rPr>
    </w:lvl>
    <w:lvl w:ilvl="5" w:tplc="4C245898">
      <w:numFmt w:val="bullet"/>
      <w:lvlText w:val="•"/>
      <w:lvlJc w:val="left"/>
      <w:pPr>
        <w:ind w:left="5383" w:hanging="360"/>
      </w:pPr>
      <w:rPr>
        <w:rFonts w:hint="default"/>
      </w:rPr>
    </w:lvl>
    <w:lvl w:ilvl="6" w:tplc="29A4D36A">
      <w:numFmt w:val="bullet"/>
      <w:lvlText w:val="•"/>
      <w:lvlJc w:val="left"/>
      <w:pPr>
        <w:ind w:left="6247" w:hanging="360"/>
      </w:pPr>
      <w:rPr>
        <w:rFonts w:hint="default"/>
      </w:rPr>
    </w:lvl>
    <w:lvl w:ilvl="7" w:tplc="0FD60BA2">
      <w:numFmt w:val="bullet"/>
      <w:lvlText w:val="•"/>
      <w:lvlJc w:val="left"/>
      <w:pPr>
        <w:ind w:left="7112" w:hanging="360"/>
      </w:pPr>
      <w:rPr>
        <w:rFonts w:hint="default"/>
      </w:rPr>
    </w:lvl>
    <w:lvl w:ilvl="8" w:tplc="A61CF17C">
      <w:numFmt w:val="bullet"/>
      <w:lvlText w:val="•"/>
      <w:lvlJc w:val="left"/>
      <w:pPr>
        <w:ind w:left="7977" w:hanging="360"/>
      </w:pPr>
      <w:rPr>
        <w:rFonts w:hint="default"/>
      </w:rPr>
    </w:lvl>
  </w:abstractNum>
  <w:abstractNum w:abstractNumId="3" w15:restartNumberingAfterBreak="0">
    <w:nsid w:val="347C30B5"/>
    <w:multiLevelType w:val="hybridMultilevel"/>
    <w:tmpl w:val="903AA8AA"/>
    <w:lvl w:ilvl="0" w:tplc="0C09000F">
      <w:start w:val="1"/>
      <w:numFmt w:val="decimal"/>
      <w:lvlText w:val="%1."/>
      <w:lvlJc w:val="left"/>
      <w:pPr>
        <w:ind w:left="360" w:hanging="360"/>
      </w:pPr>
      <w:rPr>
        <w:rFonts w:hint="default"/>
      </w:rPr>
    </w:lvl>
    <w:lvl w:ilvl="1" w:tplc="F4CCE0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F74E76"/>
    <w:multiLevelType w:val="hybridMultilevel"/>
    <w:tmpl w:val="BB727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21309D"/>
    <w:multiLevelType w:val="hybridMultilevel"/>
    <w:tmpl w:val="70A04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115104"/>
    <w:multiLevelType w:val="hybridMultilevel"/>
    <w:tmpl w:val="7680A538"/>
    <w:lvl w:ilvl="0" w:tplc="F4CCE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EA3C89"/>
    <w:multiLevelType w:val="hybridMultilevel"/>
    <w:tmpl w:val="230CFADA"/>
    <w:lvl w:ilvl="0" w:tplc="01E4BF00">
      <w:start w:val="1"/>
      <w:numFmt w:val="decimal"/>
      <w:lvlText w:val="%1."/>
      <w:lvlJc w:val="left"/>
      <w:pPr>
        <w:ind w:left="699" w:hanging="360"/>
      </w:pPr>
      <w:rPr>
        <w:rFonts w:hint="default"/>
        <w:spacing w:val="-3"/>
        <w:w w:val="100"/>
      </w:rPr>
    </w:lvl>
    <w:lvl w:ilvl="1" w:tplc="0868BF34">
      <w:numFmt w:val="bullet"/>
      <w:lvlText w:val=""/>
      <w:lvlJc w:val="left"/>
      <w:pPr>
        <w:ind w:left="1059" w:hanging="361"/>
      </w:pPr>
      <w:rPr>
        <w:rFonts w:ascii="Symbol" w:eastAsia="Symbol" w:hAnsi="Symbol" w:cs="Symbol" w:hint="default"/>
        <w:w w:val="100"/>
        <w:sz w:val="22"/>
        <w:szCs w:val="22"/>
      </w:rPr>
    </w:lvl>
    <w:lvl w:ilvl="2" w:tplc="C59EED48">
      <w:numFmt w:val="bullet"/>
      <w:lvlText w:val="•"/>
      <w:lvlJc w:val="left"/>
      <w:pPr>
        <w:ind w:left="2020" w:hanging="361"/>
      </w:pPr>
      <w:rPr>
        <w:rFonts w:hint="default"/>
      </w:rPr>
    </w:lvl>
    <w:lvl w:ilvl="3" w:tplc="6E482B02">
      <w:numFmt w:val="bullet"/>
      <w:lvlText w:val="•"/>
      <w:lvlJc w:val="left"/>
      <w:pPr>
        <w:ind w:left="2981" w:hanging="361"/>
      </w:pPr>
      <w:rPr>
        <w:rFonts w:hint="default"/>
      </w:rPr>
    </w:lvl>
    <w:lvl w:ilvl="4" w:tplc="4202A0C4">
      <w:numFmt w:val="bullet"/>
      <w:lvlText w:val="•"/>
      <w:lvlJc w:val="left"/>
      <w:pPr>
        <w:ind w:left="3942" w:hanging="361"/>
      </w:pPr>
      <w:rPr>
        <w:rFonts w:hint="default"/>
      </w:rPr>
    </w:lvl>
    <w:lvl w:ilvl="5" w:tplc="2C924148">
      <w:numFmt w:val="bullet"/>
      <w:lvlText w:val="•"/>
      <w:lvlJc w:val="left"/>
      <w:pPr>
        <w:ind w:left="4902" w:hanging="361"/>
      </w:pPr>
      <w:rPr>
        <w:rFonts w:hint="default"/>
      </w:rPr>
    </w:lvl>
    <w:lvl w:ilvl="6" w:tplc="BC5A59B4">
      <w:numFmt w:val="bullet"/>
      <w:lvlText w:val="•"/>
      <w:lvlJc w:val="left"/>
      <w:pPr>
        <w:ind w:left="5863" w:hanging="361"/>
      </w:pPr>
      <w:rPr>
        <w:rFonts w:hint="default"/>
      </w:rPr>
    </w:lvl>
    <w:lvl w:ilvl="7" w:tplc="BC9A02EA">
      <w:numFmt w:val="bullet"/>
      <w:lvlText w:val="•"/>
      <w:lvlJc w:val="left"/>
      <w:pPr>
        <w:ind w:left="6824" w:hanging="361"/>
      </w:pPr>
      <w:rPr>
        <w:rFonts w:hint="default"/>
      </w:rPr>
    </w:lvl>
    <w:lvl w:ilvl="8" w:tplc="22E6364C">
      <w:numFmt w:val="bullet"/>
      <w:lvlText w:val="•"/>
      <w:lvlJc w:val="left"/>
      <w:pPr>
        <w:ind w:left="7784" w:hanging="361"/>
      </w:pPr>
      <w:rPr>
        <w:rFonts w:hint="default"/>
      </w:rPr>
    </w:lvl>
  </w:abstractNum>
  <w:abstractNum w:abstractNumId="8" w15:restartNumberingAfterBreak="0">
    <w:nsid w:val="7C5A5DB5"/>
    <w:multiLevelType w:val="hybridMultilevel"/>
    <w:tmpl w:val="7758D360"/>
    <w:lvl w:ilvl="0" w:tplc="0C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4"/>
  </w:num>
  <w:num w:numId="5">
    <w:abstractNumId w:val="8"/>
  </w:num>
  <w:num w:numId="6">
    <w:abstractNumId w:val="3"/>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B5"/>
    <w:rsid w:val="0001738D"/>
    <w:rsid w:val="000A5298"/>
    <w:rsid w:val="000F4744"/>
    <w:rsid w:val="00176459"/>
    <w:rsid w:val="001D7C16"/>
    <w:rsid w:val="002C4445"/>
    <w:rsid w:val="002E47E2"/>
    <w:rsid w:val="00363437"/>
    <w:rsid w:val="00592496"/>
    <w:rsid w:val="005E2603"/>
    <w:rsid w:val="00702506"/>
    <w:rsid w:val="007B5424"/>
    <w:rsid w:val="008166B5"/>
    <w:rsid w:val="008471E3"/>
    <w:rsid w:val="008839B0"/>
    <w:rsid w:val="008F2322"/>
    <w:rsid w:val="008F6F71"/>
    <w:rsid w:val="009B58D6"/>
    <w:rsid w:val="00A015D3"/>
    <w:rsid w:val="00A30A6A"/>
    <w:rsid w:val="00A57DEC"/>
    <w:rsid w:val="00A73A89"/>
    <w:rsid w:val="00BF4D37"/>
    <w:rsid w:val="00C47F31"/>
    <w:rsid w:val="00D06DDF"/>
    <w:rsid w:val="00D52B51"/>
    <w:rsid w:val="00D922B0"/>
    <w:rsid w:val="00DD4D73"/>
    <w:rsid w:val="00E3075F"/>
    <w:rsid w:val="00E75069"/>
    <w:rsid w:val="00E82B3D"/>
    <w:rsid w:val="00EA7C75"/>
    <w:rsid w:val="00F33769"/>
    <w:rsid w:val="00F80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8D"/>
  </w:style>
  <w:style w:type="paragraph" w:styleId="Footer">
    <w:name w:val="footer"/>
    <w:basedOn w:val="Normal"/>
    <w:link w:val="FooterChar"/>
    <w:uiPriority w:val="99"/>
    <w:unhideWhenUsed/>
    <w:rsid w:val="0001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8D"/>
  </w:style>
  <w:style w:type="paragraph" w:styleId="ListParagraph">
    <w:name w:val="List Paragraph"/>
    <w:basedOn w:val="Normal"/>
    <w:uiPriority w:val="1"/>
    <w:qFormat/>
    <w:rsid w:val="00D922B0"/>
    <w:pPr>
      <w:ind w:left="720"/>
      <w:contextualSpacing/>
    </w:pPr>
  </w:style>
  <w:style w:type="paragraph" w:styleId="BodyText">
    <w:name w:val="Body Text"/>
    <w:basedOn w:val="Normal"/>
    <w:link w:val="BodyTextChar"/>
    <w:uiPriority w:val="1"/>
    <w:qFormat/>
    <w:rsid w:val="00BF4D3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link w:val="BodyText"/>
    <w:uiPriority w:val="1"/>
    <w:rsid w:val="00BF4D37"/>
    <w:rPr>
      <w:rFonts w:ascii="Arial" w:eastAsia="Arial" w:hAnsi="Arial" w:cs="Arial"/>
      <w:lang w:val="en-US"/>
    </w:rPr>
  </w:style>
  <w:style w:type="character" w:styleId="Hyperlink">
    <w:name w:val="Hyperlink"/>
    <w:uiPriority w:val="99"/>
    <w:unhideWhenUsed/>
    <w:rsid w:val="00A01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2038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https://www.cabinet.qld.gov.au/documents/2017/Mar/RespRep31/</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2017-06-06T07:11:00Z</cp:lastPrinted>
  <dcterms:created xsi:type="dcterms:W3CDTF">2018-01-30T01:35:00Z</dcterms:created>
  <dcterms:modified xsi:type="dcterms:W3CDTF">2018-03-06T01:51:00Z</dcterms:modified>
  <cp:category>Health,Justice,Committees</cp:category>
</cp:coreProperties>
</file>